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F331" w14:textId="77777777" w:rsidR="000E3146" w:rsidRPr="00056137" w:rsidRDefault="000E3146" w:rsidP="000E314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056137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คำแนะนำเบื้องต้นสำหรับการเตรียมต้นฉบับบทความ</w:t>
      </w:r>
      <w:r w:rsidRPr="00056137">
        <w:rPr>
          <w:rFonts w:ascii="TH SarabunPSK" w:eastAsia="Times New Roman" w:hAnsi="TH SarabunPSK" w:cs="TH SarabunPSK"/>
          <w:sz w:val="24"/>
          <w:szCs w:val="24"/>
        </w:rPr>
        <w:br/>
        <w:t xml:space="preserve">–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ตัวอักษร 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TH </w:t>
      </w:r>
      <w:proofErr w:type="spellStart"/>
      <w:r w:rsidRPr="00056137">
        <w:rPr>
          <w:rFonts w:ascii="TH SarabunPSK" w:eastAsia="Times New Roman" w:hAnsi="TH SarabunPSK" w:cs="TH SarabunPSK"/>
          <w:sz w:val="24"/>
          <w:szCs w:val="24"/>
        </w:rPr>
        <w:t>SarabunPSK</w:t>
      </w:r>
      <w:proofErr w:type="spellEnd"/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–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บทคัดย่อไม่เกิน 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400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>คำ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–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คำสำคัญไม่เกิน 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6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>คำ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–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หัวข้อบทความประกอบด้วย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1. 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บทนำ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2. 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วิธีดำเนินการวิจัย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3. 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ผลและอภิปรายผล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4. 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สรุปผล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5. 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ข้อเสนอแนะ(ถ้ามี)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6. 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กิตติกรรมประกาศ(ถ้ามี)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7. 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>บรรณานุกรม</w:t>
      </w:r>
      <w:r w:rsidRPr="00056137">
        <w:rPr>
          <w:rFonts w:ascii="TH SarabunPSK" w:eastAsia="Times New Roman" w:hAnsi="TH SarabunPSK" w:cs="TH SarabunPSK"/>
          <w:sz w:val="24"/>
          <w:szCs w:val="24"/>
        </w:rPr>
        <w:t xml:space="preserve">– </w:t>
      </w:r>
      <w:r w:rsidRPr="00056137">
        <w:rPr>
          <w:rFonts w:ascii="TH SarabunPSK" w:eastAsia="Times New Roman" w:hAnsi="TH SarabunPSK" w:cs="TH SarabunPSK"/>
          <w:sz w:val="24"/>
          <w:szCs w:val="24"/>
          <w:cs/>
        </w:rPr>
        <w:t xml:space="preserve">รูปแบบการอ้างอิงใช้รูปแบบ </w:t>
      </w:r>
      <w:r w:rsidRPr="00056137">
        <w:rPr>
          <w:rFonts w:ascii="TH SarabunPSK" w:eastAsia="Times New Roman" w:hAnsi="TH SarabunPSK" w:cs="TH SarabunPSK"/>
          <w:sz w:val="24"/>
          <w:szCs w:val="24"/>
        </w:rPr>
        <w:t>APA 7</w:t>
      </w:r>
      <w:r w:rsidRPr="00056137">
        <w:rPr>
          <w:rFonts w:ascii="TH SarabunPSK" w:eastAsia="Times New Roman" w:hAnsi="TH SarabunPSK" w:cs="TH SarabunPSK"/>
          <w:sz w:val="20"/>
          <w:szCs w:val="20"/>
        </w:rPr>
        <w:t>th</w:t>
      </w:r>
      <w:r w:rsidRPr="00056137">
        <w:rPr>
          <w:rFonts w:ascii="TH SarabunPSK" w:eastAsia="Times New Roman" w:hAnsi="TH SarabunPSK" w:cs="TH SarabunPSK"/>
          <w:sz w:val="24"/>
          <w:szCs w:val="24"/>
        </w:rPr>
        <w:t> edition</w:t>
      </w:r>
      <w:r w:rsidRPr="00056137">
        <w:rPr>
          <w:rFonts w:ascii="TH SarabunPSK" w:eastAsia="Times New Roman" w:hAnsi="TH SarabunPSK" w:cs="TH SarabunPSK"/>
          <w:sz w:val="24"/>
          <w:szCs w:val="24"/>
        </w:rPr>
        <w:br/>
      </w:r>
      <w:r w:rsidRPr="00056137">
        <w:rPr>
          <w:rFonts w:ascii="TH SarabunPSK" w:eastAsia="Times New Roman" w:hAnsi="TH SarabunPSK" w:cs="TH SarabunPSK"/>
          <w:sz w:val="24"/>
          <w:szCs w:val="24"/>
        </w:rPr>
        <w:br/>
      </w:r>
      <w:r w:rsidRPr="00056137">
        <w:rPr>
          <w:rFonts w:ascii="TH SarabunPSK" w:eastAsia="Times New Roman" w:hAnsi="TH SarabunPSK" w:cs="TH SarabunPSK"/>
          <w:b/>
          <w:bCs/>
          <w:sz w:val="24"/>
          <w:szCs w:val="24"/>
        </w:rPr>
        <w:t>APA 7</w:t>
      </w:r>
      <w:r w:rsidRPr="00056137">
        <w:rPr>
          <w:rFonts w:ascii="TH SarabunPSK" w:eastAsia="Times New Roman" w:hAnsi="TH SarabunPSK" w:cs="TH SarabunPSK"/>
          <w:b/>
          <w:bCs/>
          <w:sz w:val="20"/>
          <w:szCs w:val="20"/>
        </w:rPr>
        <w:t>th</w:t>
      </w:r>
      <w:r w:rsidRPr="00056137">
        <w:rPr>
          <w:rFonts w:ascii="TH SarabunPSK" w:eastAsia="Times New Roman" w:hAnsi="TH SarabunPSK" w:cs="TH SarabunPSK"/>
          <w:b/>
          <w:bCs/>
          <w:sz w:val="24"/>
          <w:szCs w:val="24"/>
        </w:rPr>
        <w:t> edition</w:t>
      </w:r>
      <w:r w:rsidRPr="00056137">
        <w:rPr>
          <w:rFonts w:ascii="TH SarabunPSK" w:eastAsia="Times New Roman" w:hAnsi="TH SarabunPSK" w:cs="TH SarabunPSK"/>
          <w:sz w:val="24"/>
          <w:szCs w:val="24"/>
          <w:u w:val="single"/>
          <w:cs/>
        </w:rPr>
        <w:t>กรณีวารสาร</w:t>
      </w:r>
      <w:r w:rsidRPr="00056137">
        <w:rPr>
          <w:rFonts w:ascii="TH SarabunPSK" w:eastAsia="Times New Roman" w:hAnsi="TH SarabunPSK" w:cs="TH SarabunPSK"/>
          <w:sz w:val="24"/>
          <w:szCs w:val="24"/>
          <w:u w:val="single"/>
        </w:rPr>
        <w:br/>
      </w:r>
    </w:p>
    <w:p w14:paraId="46638C92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ชื่อผู้แต่ง. (ปีพิมพ์). ชื่อบทความ.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> </w:t>
      </w:r>
      <w:r w:rsidRPr="00056137">
        <w:rPr>
          <w:rFonts w:ascii="TH SarabunPSK" w:eastAsia="Times New Roman" w:hAnsi="TH SarabunPSK" w:cs="TH SarabunPSK"/>
          <w:b/>
          <w:bCs/>
          <w:i/>
          <w:iCs/>
          <w:sz w:val="27"/>
          <w:szCs w:val="27"/>
          <w:cs/>
        </w:rPr>
        <w:t>ชื่อวารสาร</w:t>
      </w:r>
      <w:r w:rsidRPr="00056137">
        <w:rPr>
          <w:rFonts w:ascii="TH SarabunPSK" w:eastAsia="Times New Roman" w:hAnsi="TH SarabunPSK" w:cs="TH SarabunPSK"/>
          <w:b/>
          <w:bCs/>
          <w:i/>
          <w:iCs/>
          <w:sz w:val="27"/>
          <w:szCs w:val="27"/>
        </w:rPr>
        <w:t xml:space="preserve">, </w:t>
      </w:r>
      <w:r w:rsidRPr="00056137">
        <w:rPr>
          <w:rFonts w:ascii="TH SarabunPSK" w:eastAsia="Times New Roman" w:hAnsi="TH SarabunPSK" w:cs="TH SarabunPSK"/>
          <w:b/>
          <w:bCs/>
          <w:i/>
          <w:iCs/>
          <w:sz w:val="27"/>
          <w:szCs w:val="27"/>
          <w:cs/>
        </w:rPr>
        <w:t>ปีที่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>(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ฉบับที่)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,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หน้า.</w:t>
      </w:r>
    </w:p>
    <w:p w14:paraId="74149AD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ปิ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ยะวิทย์ ทิพรส.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2553).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การจัดการป้องกันและลดสารให้กลิ่นโคลน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Geosmin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ในผลิตภัณฑ์แปรรูปสัตว์น้ำ.</w:t>
      </w:r>
      <w:r w:rsidRPr="00056137">
        <w:rPr>
          <w:rFonts w:ascii="TH SarabunPSK" w:eastAsia="Times New Roman" w:hAnsi="TH SarabunPSK" w:cs="TH SarabunPSK"/>
          <w:sz w:val="27"/>
          <w:szCs w:val="27"/>
        </w:rPr>
        <w:t>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วารสารสุทธิปริทัศน์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, 24</w:t>
      </w:r>
      <w:r w:rsidRPr="00056137">
        <w:rPr>
          <w:rFonts w:ascii="TH SarabunPSK" w:eastAsia="Times New Roman" w:hAnsi="TH SarabunPSK" w:cs="TH SarabunPSK"/>
          <w:sz w:val="27"/>
          <w:szCs w:val="27"/>
        </w:rPr>
        <w:t>(72), 103-119.</w:t>
      </w:r>
    </w:p>
    <w:p w14:paraId="5585608E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Tandra, R., Sahai, A., &amp;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Veeravalli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V. (2011). Unified space-time metrics to evaluate spectrum sensing.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IEEE Communications Magazine, 49</w:t>
      </w:r>
      <w:r w:rsidRPr="00056137">
        <w:rPr>
          <w:rFonts w:ascii="TH SarabunPSK" w:eastAsia="Times New Roman" w:hAnsi="TH SarabunPSK" w:cs="TH SarabunPSK"/>
          <w:sz w:val="27"/>
          <w:szCs w:val="27"/>
        </w:rPr>
        <w:t>(3), 54-61.</w:t>
      </w:r>
    </w:p>
    <w:p w14:paraId="78D60CD0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กรณีหนังสือ</w:t>
      </w:r>
    </w:p>
    <w:p w14:paraId="46B6709D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ผู้แต่ง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1,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ผู้แต่ง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2, &amp;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ผู้แต่ง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>3. (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ปีพิมพ์). ชื่อเรื่อง (พิมพ์ครั้งที่). สถานที่พิมพ์: สำนักพิมพ์.</w:t>
      </w:r>
    </w:p>
    <w:p w14:paraId="600B03FC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สุภ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มาส อังศุโชติ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สมถวิล วิจิตรวรรณา และ รัช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ชนี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กูล ภิญโญภา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นุวัฒน์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2551).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สถิติวิเคราะห์สำหรับการวิจัยทางสังคมศาสตร์และพฤติกรรมศาสตร์: เทคนิคการใช้โปรแกรม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 LISREL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กรุงเทพฯ: มิส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ชั่น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 มีเดีย.</w:t>
      </w:r>
    </w:p>
    <w:p w14:paraId="21A4C94B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</w:rPr>
        <w:t>John, J. A., Whitaker, D., &amp; Johnson, D. G. (2001).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Basic statistics for behavioral science research</w:t>
      </w:r>
      <w:r w:rsidRPr="00056137">
        <w:rPr>
          <w:rFonts w:ascii="TH SarabunPSK" w:eastAsia="Times New Roman" w:hAnsi="TH SarabunPSK" w:cs="TH SarabunPSK"/>
          <w:sz w:val="27"/>
          <w:szCs w:val="27"/>
        </w:rPr>
        <w:t>. Boston: Allyn and Bacon.</w:t>
      </w:r>
    </w:p>
    <w:p w14:paraId="49CB078E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กรณีบทความหรือบทในหนังสือ</w:t>
      </w:r>
    </w:p>
    <w:p w14:paraId="0CEDAD1A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ชื่อผู้แต่งบทความหรือบท. (ปีพิมพ์). ชื่อบทความหรือบท. ใน หรือ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 In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ชื่อบรรณาธิการ (</w:t>
      </w:r>
      <w:proofErr w:type="spellStart"/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บ.ก</w:t>
      </w:r>
      <w:proofErr w:type="spellEnd"/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. 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Ed.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Eds.).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ชื่อหนังสือ (น. 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p.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pp.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เลขหน้า). สถานที่พิมพ์: สำนักพิมพ์.</w:t>
      </w:r>
    </w:p>
    <w:p w14:paraId="1516821C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ณัฐพล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ปัญญ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โสภณ.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2554).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มุมมองของนักศึกษานิเทศศาสตร์ต่อกระบวนการผลิตละครเพื่อการสื่อสาร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ใน ชน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ัญ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ชี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ภัง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คานนท์ (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บ.ก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.). กระบวนทัศน์มหาวิทยาลัยไทยบนความท้าทายของเอเชียแปซิฟิก (น. 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23-24).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กรุงเทพฯ: มหาวิทยาลัยกรุงเทพ.</w:t>
      </w:r>
    </w:p>
    <w:p w14:paraId="1B8A207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Sinnaeve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G.,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Pissard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A., Fernandez-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Pierna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J. A.,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Lognay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G.,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Rondia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A., Dupont, P., &amp;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Lateur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M. (2010).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Use of near infrared spectroscopy for the determination of internal quality of entire apples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. In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Saranwong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S.,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Kasemsumran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S.,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Thanapase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W., &amp; Williams, P. (Eds.). Near infrared spectroscopy (pp. 255-259). West Sussex, UK: IMP.</w:t>
      </w:r>
    </w:p>
    <w:p w14:paraId="1D0C938E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กรณีรายงานการวิจัย</w:t>
      </w:r>
    </w:p>
    <w:p w14:paraId="06858103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lastRenderedPageBreak/>
        <w:t>ผู้แต่ง. (ปีพิมพ์). ชื่อเรื่อง (รายงานผลการวิจัย). สถานที่พิมพ์: สำนักพิมพ์.</w:t>
      </w:r>
    </w:p>
    <w:p w14:paraId="4AB2FC13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เฉลิมสิน สิงห์สนอง.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2553).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การพัฒนาชุดการเรียนโดยใช้ปัญหาเป็นฐานในรายวิชาคณิตศาสตร์ธุรกิจสำหรับนักศึกษาระดับปริญญาบัณฑิต มหาวิทยาลัยธุรกิจบัณฑิตย์</w:t>
      </w:r>
      <w:r w:rsidRPr="00056137">
        <w:rPr>
          <w:rFonts w:ascii="TH SarabunPSK" w:eastAsia="Times New Roman" w:hAnsi="TH SarabunPSK" w:cs="TH SarabunPSK"/>
          <w:sz w:val="27"/>
          <w:szCs w:val="27"/>
        </w:rPr>
        <w:t> (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รายงานผลการวิจัย). กรุงเทพฯ: มหาวิทยาลัยธุรกิจบัณฑิตย์.</w:t>
      </w:r>
    </w:p>
    <w:p w14:paraId="4F7D3048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Chitnomrath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T. (2011).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A study of factors regarding firm characteristics that affect financing decisions of public companies listed on the stock exchange of Thailand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 (Research report). Bangkok, Thailand: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Dhurakij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 Pundit University.</w:t>
      </w:r>
    </w:p>
    <w:p w14:paraId="10B209A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กรณีเอกสารการประชุมวิชาการ</w:t>
      </w:r>
      <w:bookmarkStart w:id="0" w:name="_GoBack"/>
      <w:bookmarkEnd w:id="0"/>
    </w:p>
    <w:p w14:paraId="1929412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ผู้แต่ง. (ปีพิมพ์). ชื่อบทความหรือชื่อเรื่องของบท. ชื่อการประชุม (น. หรือ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 p.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pp.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เลขหน้า). สถานที่พิมพ์: สำนักพิมพ์.</w:t>
      </w:r>
    </w:p>
    <w:p w14:paraId="5EB56E2D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ชัช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พล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มง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คลิก.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2552).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การประยุกต์ใช้กระบวนการลำดับชั้นเชิงวิเคราะห์ในการจัดตารางการผลิตแบบพหุเกณฑ์: กรณีศึกษาโรงงานอุตสาหกรรมผลิตยา</w:t>
      </w:r>
      <w:r w:rsidRPr="00056137">
        <w:rPr>
          <w:rFonts w:ascii="TH SarabunPSK" w:eastAsia="Times New Roman" w:hAnsi="TH SarabunPSK" w:cs="TH SarabunPSK"/>
          <w:sz w:val="27"/>
          <w:szCs w:val="27"/>
        </w:rPr>
        <w:t> (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น. 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46).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การประชุมวิชาการการบริหารและการจัดการ ครั้งที่ 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5.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กรุงเทพฯ: มหาวิทยาลัยธุรกิจบัณฑิตย์.</w:t>
      </w:r>
    </w:p>
    <w:p w14:paraId="71509B9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Soutar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, G., &amp; </w:t>
      </w:r>
      <w:proofErr w:type="spellStart"/>
      <w:r w:rsidRPr="00056137">
        <w:rPr>
          <w:rFonts w:ascii="TH SarabunPSK" w:eastAsia="Times New Roman" w:hAnsi="TH SarabunPSK" w:cs="TH SarabunPSK"/>
          <w:sz w:val="27"/>
          <w:szCs w:val="27"/>
        </w:rPr>
        <w:t>Mazzarol</w:t>
      </w:r>
      <w:proofErr w:type="spellEnd"/>
      <w:r w:rsidRPr="00056137">
        <w:rPr>
          <w:rFonts w:ascii="TH SarabunPSK" w:eastAsia="Times New Roman" w:hAnsi="TH SarabunPSK" w:cs="TH SarabunPSK"/>
          <w:sz w:val="27"/>
          <w:szCs w:val="27"/>
        </w:rPr>
        <w:t>, T. W. (1995).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Gaining competitive advantage in education services exports: Forward integration and strategic alliances in a maturing market</w:t>
      </w:r>
      <w:r w:rsidRPr="00056137">
        <w:rPr>
          <w:rFonts w:ascii="TH SarabunPSK" w:eastAsia="Times New Roman" w:hAnsi="TH SarabunPSK" w:cs="TH SarabunPSK"/>
          <w:sz w:val="27"/>
          <w:szCs w:val="27"/>
        </w:rPr>
        <w:t> (pp. 85-110). Proceedings of the Academy of International Business Southeast Asia Regional Conference. Perth: Murdoch University.</w:t>
      </w:r>
    </w:p>
    <w:p w14:paraId="3C6E21F6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กรณีวิทยานิพนธ์และปริญญานิพนธ์</w:t>
      </w:r>
    </w:p>
    <w:p w14:paraId="6819AB10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ผู้แต่ง. (ปีพิมพ์). ชื่อเรื่อง (ปริญญาดุษฎีบัณฑิต หรือ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 Doctoral dissertation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หรือ วิทยานิพนธ์มหาบัณฑิต 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Master thesis).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สถานที่พิมพ์: สำนักพิมพ์.</w:t>
      </w:r>
    </w:p>
    <w:p w14:paraId="3BC476B4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ก้องเกียรติ บูรณศรี.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2553).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ความสัมพันธ์ระหว่างความเป็นผู้ประกอบการขององค์การ สภาพแวดล้อมทางธุรกิจและผลการดำเนินงานของสถานประกอบการอุตสาหกรรมการผลิตขนาดกลางและขนาดใหญ่ในพื้นที่การนิคมอุตสาหกรรมแห่งประเทศไทย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 </w:t>
      </w:r>
      <w:r w:rsidRPr="00056137">
        <w:rPr>
          <w:rFonts w:ascii="TH SarabunPSK" w:eastAsia="Times New Roman" w:hAnsi="TH SarabunPSK" w:cs="TH SarabunPSK"/>
          <w:sz w:val="27"/>
          <w:szCs w:val="27"/>
        </w:rPr>
        <w:t>(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>ปริญญาดุษฎีบัณฑิต). กรุงเทพฯ: มหาวิทยาลัยธุรกิจบัณฑิตย์.</w:t>
      </w:r>
    </w:p>
    <w:p w14:paraId="7B0AB4D3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</w:rPr>
        <w:t>Nickels, D. W. (2005).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The relationship between IT-business alignment and organizational culture: An exploratory study</w:t>
      </w:r>
      <w:r w:rsidRPr="00056137">
        <w:rPr>
          <w:rFonts w:ascii="TH SarabunPSK" w:eastAsia="Times New Roman" w:hAnsi="TH SarabunPSK" w:cs="TH SarabunPSK"/>
          <w:sz w:val="27"/>
          <w:szCs w:val="27"/>
        </w:rPr>
        <w:t> (Doctoral dissertation). Memphis, TN: University of Memphis.</w:t>
      </w:r>
    </w:p>
    <w:p w14:paraId="64C7EFE5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u w:val="single"/>
          <w:cs/>
        </w:rPr>
        <w:t>กรณีเอกสารอิเล็กทรอนิกส์ หนังสือพิมพ์ สารานุกรม</w:t>
      </w:r>
    </w:p>
    <w:p w14:paraId="654B1E19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>ผู้แต่ง. (ปีพิมพ์). ชื่อเรื่อง. สืบค้น เดือน ปี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 xml:space="preserve">,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  <w:cs/>
        </w:rPr>
        <w:t xml:space="preserve">จาก หรือ </w:t>
      </w:r>
      <w:r w:rsidRPr="00056137">
        <w:rPr>
          <w:rFonts w:ascii="TH SarabunPSK" w:eastAsia="Times New Roman" w:hAnsi="TH SarabunPSK" w:cs="TH SarabunPSK"/>
          <w:b/>
          <w:bCs/>
          <w:sz w:val="27"/>
          <w:szCs w:val="27"/>
        </w:rPr>
        <w:t>Retrieved M Y, from http://www.xxxxxxxxxx.</w:t>
      </w:r>
    </w:p>
    <w:p w14:paraId="0DCE933B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  <w:cs/>
        </w:rPr>
        <w:lastRenderedPageBreak/>
        <w:t>สุรชัย เลี้ยงบุญเลิศชัย. (</w:t>
      </w:r>
      <w:r w:rsidRPr="00056137">
        <w:rPr>
          <w:rFonts w:ascii="TH SarabunPSK" w:eastAsia="Times New Roman" w:hAnsi="TH SarabunPSK" w:cs="TH SarabunPSK"/>
          <w:sz w:val="27"/>
          <w:szCs w:val="27"/>
        </w:rPr>
        <w:t>2554).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  <w:cs/>
        </w:rPr>
        <w:t>จัดระเบียบสำนักงานทนายความ</w:t>
      </w:r>
      <w:r w:rsidRPr="00056137">
        <w:rPr>
          <w:rFonts w:ascii="TH SarabunPSK" w:eastAsia="Times New Roman" w:hAnsi="TH SarabunPSK" w:cs="TH SarabunPSK"/>
          <w:sz w:val="27"/>
          <w:szCs w:val="27"/>
        </w:rPr>
        <w:t xml:space="preserve">. </w:t>
      </w:r>
      <w:r w:rsidRPr="00056137">
        <w:rPr>
          <w:rFonts w:ascii="TH SarabunPSK" w:eastAsia="Times New Roman" w:hAnsi="TH SarabunPSK" w:cs="TH SarabunPSK"/>
          <w:sz w:val="27"/>
          <w:szCs w:val="27"/>
          <w:cs/>
        </w:rPr>
        <w:t xml:space="preserve">สืบค้นจาก </w:t>
      </w:r>
      <w:r w:rsidRPr="00056137">
        <w:rPr>
          <w:rFonts w:ascii="TH SarabunPSK" w:eastAsia="Times New Roman" w:hAnsi="TH SarabunPSK" w:cs="TH SarabunPSK"/>
          <w:sz w:val="27"/>
          <w:szCs w:val="27"/>
        </w:rPr>
        <w:t>http://www.lawyerscouncil.or.th/2011/index.php?name=knowledge</w:t>
      </w:r>
    </w:p>
    <w:p w14:paraId="48F2F25C" w14:textId="77777777" w:rsidR="000E3146" w:rsidRPr="00056137" w:rsidRDefault="000E3146" w:rsidP="000E3146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056137">
        <w:rPr>
          <w:rFonts w:ascii="TH SarabunPSK" w:eastAsia="Times New Roman" w:hAnsi="TH SarabunPSK" w:cs="TH SarabunPSK"/>
          <w:sz w:val="27"/>
          <w:szCs w:val="27"/>
        </w:rPr>
        <w:t>CNN Wire Staff. (2011). </w:t>
      </w:r>
      <w:r w:rsidRPr="00056137">
        <w:rPr>
          <w:rFonts w:ascii="TH SarabunPSK" w:eastAsia="Times New Roman" w:hAnsi="TH SarabunPSK" w:cs="TH SarabunPSK"/>
          <w:i/>
          <w:iCs/>
          <w:sz w:val="27"/>
          <w:szCs w:val="27"/>
        </w:rPr>
        <w:t>How U.S. forces killed Osama bin Laden</w:t>
      </w:r>
      <w:r w:rsidRPr="00056137">
        <w:rPr>
          <w:rFonts w:ascii="TH SarabunPSK" w:eastAsia="Times New Roman" w:hAnsi="TH SarabunPSK" w:cs="TH SarabunPSK"/>
          <w:sz w:val="27"/>
          <w:szCs w:val="27"/>
        </w:rPr>
        <w:t>. Retrieved from http://www.cnn.com/2011/WORLD/asiapcf/05/02/bin.laden.raid/index.html</w:t>
      </w:r>
    </w:p>
    <w:p w14:paraId="1F3FDCF9" w14:textId="77777777" w:rsidR="00093AC7" w:rsidRPr="00056137" w:rsidRDefault="00093AC7">
      <w:pPr>
        <w:rPr>
          <w:rFonts w:ascii="TH SarabunPSK" w:hAnsi="TH SarabunPSK" w:cs="TH SarabunPSK"/>
        </w:rPr>
      </w:pPr>
    </w:p>
    <w:sectPr w:rsidR="00093AC7" w:rsidRPr="00056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46"/>
    <w:rsid w:val="00056137"/>
    <w:rsid w:val="00093AC7"/>
    <w:rsid w:val="000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B1AC"/>
  <w15:chartTrackingRefBased/>
  <w15:docId w15:val="{07CF1442-BC44-4EDE-8865-8F5C23A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RANRANA Kayun</dc:creator>
  <cp:keywords/>
  <dc:description/>
  <cp:lastModifiedBy>Acer</cp:lastModifiedBy>
  <cp:revision>3</cp:revision>
  <dcterms:created xsi:type="dcterms:W3CDTF">2024-11-01T08:36:00Z</dcterms:created>
  <dcterms:modified xsi:type="dcterms:W3CDTF">2025-02-25T07:20:00Z</dcterms:modified>
</cp:coreProperties>
</file>